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56E1D">
              <w:rPr>
                <w:rFonts w:asciiTheme="majorHAnsi" w:eastAsiaTheme="majorEastAsia" w:hAnsiTheme="majorHAnsi" w:cstheme="majorBidi"/>
                <w:sz w:val="36"/>
                <w:szCs w:val="36"/>
              </w:rPr>
              <w:t>Haziran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756E1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756E1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4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756E1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Haziran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EA98FEB" wp14:editId="0A03042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756E1D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Haziran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24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Haziran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756E1D">
        <w:rPr>
          <w:rFonts w:ascii="Times New Roman" w:hAnsi="Times New Roman" w:cs="Times New Roman"/>
        </w:rPr>
        <w:t>Mayıs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756E1D">
        <w:rPr>
          <w:rFonts w:ascii="Times New Roman" w:hAnsi="Times New Roman" w:cs="Times New Roman"/>
        </w:rPr>
        <w:t>83,4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756E1D">
        <w:rPr>
          <w:rFonts w:ascii="Times New Roman" w:hAnsi="Times New Roman" w:cs="Times New Roman"/>
        </w:rPr>
        <w:t>Haziran ayında 1,3</w:t>
      </w:r>
      <w:r>
        <w:rPr>
          <w:rFonts w:ascii="Times New Roman" w:hAnsi="Times New Roman" w:cs="Times New Roman"/>
        </w:rPr>
        <w:t xml:space="preserve"> puan </w:t>
      </w:r>
      <w:r w:rsidR="005434BB">
        <w:rPr>
          <w:rFonts w:ascii="Times New Roman" w:hAnsi="Times New Roman" w:cs="Times New Roman"/>
        </w:rPr>
        <w:t>artarak</w:t>
      </w:r>
      <w:r w:rsidR="008C3A4E">
        <w:rPr>
          <w:rFonts w:ascii="Times New Roman" w:hAnsi="Times New Roman" w:cs="Times New Roman"/>
        </w:rPr>
        <w:t xml:space="preserve"> 8</w:t>
      </w:r>
      <w:r w:rsidR="00756E1D">
        <w:rPr>
          <w:rFonts w:ascii="Times New Roman" w:hAnsi="Times New Roman" w:cs="Times New Roman"/>
        </w:rPr>
        <w:t>4,7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5434BB">
        <w:rPr>
          <w:rFonts w:ascii="Times New Roman" w:hAnsi="Times New Roman" w:cs="Times New Roman"/>
        </w:rPr>
        <w:t>çıkmıştır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756E1D">
        <w:rPr>
          <w:rFonts w:ascii="Times New Roman" w:hAnsi="Times New Roman" w:cs="Times New Roman"/>
        </w:rPr>
        <w:t xml:space="preserve"> yılın aynı dönemine göre ise 80,3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756E1D">
        <w:rPr>
          <w:rFonts w:ascii="Times New Roman" w:hAnsi="Times New Roman" w:cs="Times New Roman"/>
        </w:rPr>
        <w:t>inşaat sektörü güven endeksi 4,4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756E1D">
        <w:rPr>
          <w:rFonts w:ascii="Times New Roman" w:hAnsi="Times New Roman" w:cs="Times New Roman"/>
        </w:rPr>
        <w:t>zde 5,5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</w:rPr>
        <w:t>5</w:t>
      </w:r>
      <w:r w:rsidRPr="002B5EAF">
        <w:rPr>
          <w:rFonts w:ascii="Times New Roman" w:hAnsi="Times New Roman" w:cs="Times New Roman"/>
        </w:rPr>
        <w:t xml:space="preserve"> yılı </w:t>
      </w:r>
      <w:r w:rsidR="005148AF">
        <w:rPr>
          <w:rFonts w:ascii="Times New Roman" w:hAnsi="Times New Roman" w:cs="Times New Roman"/>
        </w:rPr>
        <w:t>Haziran</w:t>
      </w:r>
      <w:r w:rsidR="00B81FEA">
        <w:rPr>
          <w:rFonts w:ascii="Times New Roman" w:hAnsi="Times New Roman" w:cs="Times New Roman"/>
        </w:rPr>
        <w:t xml:space="preserve"> ayında bir önceki aya göre 1,2</w:t>
      </w:r>
      <w:r w:rsidRPr="002B5EAF">
        <w:rPr>
          <w:rFonts w:ascii="Times New Roman" w:hAnsi="Times New Roman" w:cs="Times New Roman"/>
        </w:rPr>
        <w:t xml:space="preserve"> puan </w:t>
      </w:r>
      <w:r w:rsidR="005148AF">
        <w:rPr>
          <w:rFonts w:ascii="Times New Roman" w:hAnsi="Times New Roman" w:cs="Times New Roman"/>
        </w:rPr>
        <w:t>azalarak 88,7</w:t>
      </w:r>
      <w:r w:rsidRPr="002B5EAF">
        <w:rPr>
          <w:rFonts w:ascii="Times New Roman" w:hAnsi="Times New Roman" w:cs="Times New Roman"/>
        </w:rPr>
        <w:t xml:space="preserve"> puana </w:t>
      </w:r>
      <w:r w:rsidR="005148AF">
        <w:rPr>
          <w:rFonts w:ascii="Times New Roman" w:hAnsi="Times New Roman" w:cs="Times New Roman"/>
        </w:rPr>
        <w:t>gerilemiştir</w:t>
      </w:r>
      <w:r w:rsidRPr="002B5EAF">
        <w:rPr>
          <w:rFonts w:ascii="Times New Roman" w:hAnsi="Times New Roman" w:cs="Times New Roman"/>
        </w:rPr>
        <w:t>. 201</w:t>
      </w:r>
      <w:r w:rsidR="00A270E3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</w:t>
      </w:r>
      <w:r w:rsidR="00A928AB">
        <w:rPr>
          <w:rFonts w:ascii="Times New Roman" w:hAnsi="Times New Roman" w:cs="Times New Roman"/>
        </w:rPr>
        <w:t>Haziran</w:t>
      </w:r>
      <w:r w:rsidRPr="002B5EAF">
        <w:rPr>
          <w:rFonts w:ascii="Times New Roman" w:hAnsi="Times New Roman" w:cs="Times New Roman"/>
        </w:rPr>
        <w:t xml:space="preserve"> ayı verilerine göre incelendiğinde ise, yüzde </w:t>
      </w:r>
      <w:r w:rsidR="00A928AB">
        <w:rPr>
          <w:rFonts w:ascii="Times New Roman" w:eastAsia="Times New Roman" w:hAnsi="Times New Roman" w:cs="Times New Roman"/>
          <w:color w:val="000000"/>
        </w:rPr>
        <w:t>5</w:t>
      </w:r>
      <w:r w:rsidR="00A270E3">
        <w:rPr>
          <w:rFonts w:ascii="Times New Roman" w:eastAsia="Times New Roman" w:hAnsi="Times New Roman" w:cs="Times New Roman"/>
          <w:color w:val="000000"/>
        </w:rPr>
        <w:t>,</w:t>
      </w:r>
      <w:r w:rsidR="00B81FEA">
        <w:rPr>
          <w:rFonts w:ascii="Times New Roman" w:eastAsia="Times New Roman" w:hAnsi="Times New Roman" w:cs="Times New Roman"/>
          <w:color w:val="000000"/>
        </w:rPr>
        <w:t>3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722F2F">
        <w:rPr>
          <w:rFonts w:ascii="Times New Roman" w:hAnsi="Times New Roman" w:cs="Times New Roman"/>
          <w:sz w:val="22"/>
          <w:szCs w:val="22"/>
        </w:rPr>
        <w:t>Haziran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722F2F">
        <w:rPr>
          <w:rFonts w:ascii="Times New Roman" w:hAnsi="Times New Roman" w:cs="Times New Roman"/>
          <w:sz w:val="22"/>
          <w:szCs w:val="22"/>
        </w:rPr>
        <w:t>Haziran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722F2F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7955340" wp14:editId="7F9966A1">
            <wp:extent cx="5760720" cy="2701524"/>
            <wp:effectExtent l="0" t="0" r="11430" b="2286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D00F4A">
        <w:rPr>
          <w:rFonts w:ascii="Times New Roman" w:hAnsi="Times New Roman" w:cs="Times New Roman"/>
        </w:rPr>
        <w:t>Mayıs 2015’te 67,7</w:t>
      </w:r>
      <w:r>
        <w:rPr>
          <w:rFonts w:ascii="Times New Roman" w:hAnsi="Times New Roman" w:cs="Times New Roman"/>
        </w:rPr>
        <w:t xml:space="preserve"> puan olan alınan</w:t>
      </w:r>
      <w:r w:rsidR="00B050DB">
        <w:rPr>
          <w:rFonts w:ascii="Times New Roman" w:hAnsi="Times New Roman" w:cs="Times New Roman"/>
        </w:rPr>
        <w:t xml:space="preserve"> kayıtlı</w:t>
      </w:r>
      <w:r>
        <w:rPr>
          <w:rFonts w:ascii="Times New Roman" w:hAnsi="Times New Roman" w:cs="Times New Roman"/>
        </w:rPr>
        <w:t xml:space="preserve"> siparişlerin mevcut düzeyinin, </w:t>
      </w:r>
      <w:r w:rsidR="00D00F4A">
        <w:rPr>
          <w:rFonts w:ascii="Times New Roman" w:hAnsi="Times New Roman" w:cs="Times New Roman"/>
        </w:rPr>
        <w:t>Haziran 2015’te 2,3</w:t>
      </w:r>
      <w:r>
        <w:rPr>
          <w:rFonts w:ascii="Times New Roman" w:hAnsi="Times New Roman" w:cs="Times New Roman"/>
        </w:rPr>
        <w:t xml:space="preserve"> puan </w:t>
      </w:r>
      <w:r w:rsidR="00D00F4A">
        <w:rPr>
          <w:rFonts w:ascii="Times New Roman" w:hAnsi="Times New Roman" w:cs="Times New Roman"/>
        </w:rPr>
        <w:t>arttığı ve 69,9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D00F4A">
        <w:rPr>
          <w:rFonts w:ascii="Times New Roman" w:hAnsi="Times New Roman" w:cs="Times New Roman"/>
        </w:rPr>
        <w:t>Mayıs 2015’te 99,2</w:t>
      </w:r>
      <w:r>
        <w:rPr>
          <w:rFonts w:ascii="Times New Roman" w:hAnsi="Times New Roman" w:cs="Times New Roman"/>
        </w:rPr>
        <w:t xml:space="preserve"> puan iken, </w:t>
      </w:r>
      <w:r w:rsidR="00D00F4A">
        <w:rPr>
          <w:rFonts w:ascii="Times New Roman" w:hAnsi="Times New Roman" w:cs="Times New Roman"/>
        </w:rPr>
        <w:t>Haziran</w:t>
      </w:r>
      <w:r w:rsidR="006178F0">
        <w:rPr>
          <w:rFonts w:ascii="Times New Roman" w:hAnsi="Times New Roman" w:cs="Times New Roman"/>
        </w:rPr>
        <w:t xml:space="preserve"> 2015’te yüzde </w:t>
      </w:r>
      <w:r w:rsidR="00D00F4A">
        <w:rPr>
          <w:rFonts w:ascii="Times New Roman" w:hAnsi="Times New Roman" w:cs="Times New Roman"/>
        </w:rPr>
        <w:t>0</w:t>
      </w:r>
      <w:r w:rsidR="007C40D1">
        <w:rPr>
          <w:rFonts w:ascii="Times New Roman" w:hAnsi="Times New Roman" w:cs="Times New Roman"/>
        </w:rPr>
        <w:t>,</w:t>
      </w:r>
      <w:r w:rsidR="006178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oranında </w:t>
      </w:r>
      <w:r w:rsidR="00233F6E">
        <w:rPr>
          <w:rFonts w:ascii="Times New Roman" w:hAnsi="Times New Roman" w:cs="Times New Roman"/>
        </w:rPr>
        <w:t>artarak</w:t>
      </w:r>
      <w:r w:rsidR="00D00F4A">
        <w:rPr>
          <w:rFonts w:ascii="Times New Roman" w:hAnsi="Times New Roman" w:cs="Times New Roman"/>
        </w:rPr>
        <w:t xml:space="preserve"> 99,5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B77501">
        <w:fldChar w:fldCharType="begin"/>
      </w:r>
      <w:r w:rsidR="00B77501">
        <w:instrText xml:space="preserve"> SEQ Tablo \* ARABIC </w:instrText>
      </w:r>
      <w:r w:rsidR="00B77501">
        <w:fldChar w:fldCharType="separate"/>
      </w:r>
      <w:r>
        <w:rPr>
          <w:noProof/>
        </w:rPr>
        <w:t>1</w:t>
      </w:r>
      <w:r w:rsidR="00B77501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D00F4A">
        <w:t>Mayıs</w:t>
      </w:r>
      <w:r>
        <w:t>-</w:t>
      </w:r>
      <w:r w:rsidR="00D00F4A">
        <w:t>Haziran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D00F4A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D00F4A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Haz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00F4A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00F4A">
              <w:rPr>
                <w:rFonts w:ascii="Calibri" w:eastAsia="Times New Roman" w:hAnsi="Calibri" w:cs="Times New Roman"/>
                <w:color w:val="000000"/>
              </w:rPr>
              <w:t>4,7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D00F4A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8120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00F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D00F4A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="00DC3CEB" w:rsidRPr="00DC3CE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00F4A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99,2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D00F4A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99,5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</w:rPr>
      </w:pPr>
    </w:p>
    <w:p w:rsidR="00E12C81" w:rsidRDefault="00E12C81" w:rsidP="00472839">
      <w:pPr>
        <w:pStyle w:val="Balk2"/>
      </w:pPr>
      <w:r w:rsidRPr="002B5EAF"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415908" w:rsidRPr="002B5EAF">
        <w:rPr>
          <w:rFonts w:ascii="Times New Roman" w:hAnsi="Times New Roman" w:cs="Times New Roman"/>
        </w:rPr>
        <w:t xml:space="preserve"> </w:t>
      </w:r>
      <w:r w:rsidR="00F41309">
        <w:rPr>
          <w:rFonts w:ascii="Times New Roman" w:hAnsi="Times New Roman" w:cs="Times New Roman"/>
        </w:rPr>
        <w:t>Haziran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2014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CC0799">
        <w:rPr>
          <w:rFonts w:ascii="Times New Roman" w:hAnsi="Times New Roman" w:cs="Times New Roman"/>
        </w:rPr>
        <w:t>Haziran ayına göre yüzde 0,4</w:t>
      </w:r>
      <w:r w:rsidR="00BB0798">
        <w:rPr>
          <w:rFonts w:ascii="Times New Roman" w:hAnsi="Times New Roman" w:cs="Times New Roman"/>
        </w:rPr>
        <w:t xml:space="preserve"> oranında </w:t>
      </w:r>
      <w:r w:rsidR="00CC0799">
        <w:rPr>
          <w:rFonts w:ascii="Times New Roman" w:hAnsi="Times New Roman" w:cs="Times New Roman"/>
        </w:rPr>
        <w:t>düşüş</w:t>
      </w:r>
      <w:r w:rsidR="00BB0798">
        <w:rPr>
          <w:rFonts w:ascii="Times New Roman" w:hAnsi="Times New Roman" w:cs="Times New Roman"/>
        </w:rPr>
        <w:t xml:space="preserve"> gösterdiği</w:t>
      </w:r>
      <w:r w:rsidR="00CC0799">
        <w:rPr>
          <w:rFonts w:ascii="Times New Roman" w:hAnsi="Times New Roman" w:cs="Times New Roman"/>
        </w:rPr>
        <w:t xml:space="preserve"> (0,4 puan) ve 99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CC0799">
        <w:rPr>
          <w:rFonts w:ascii="Times New Roman" w:hAnsi="Times New Roman" w:cs="Times New Roman"/>
        </w:rPr>
        <w:t>gerilediği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332D6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CC0799">
        <w:rPr>
          <w:rFonts w:ascii="Times New Roman" w:hAnsi="Times New Roman" w:cs="Times New Roman"/>
        </w:rPr>
        <w:t>Mayıs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>ayına göre bakıldığında ise 1,4</w:t>
      </w:r>
      <w:r w:rsidR="00415908" w:rsidRPr="002B5EAF">
        <w:rPr>
          <w:rFonts w:ascii="Times New Roman" w:hAnsi="Times New Roman" w:cs="Times New Roman"/>
        </w:rPr>
        <w:t xml:space="preserve"> oranında </w:t>
      </w:r>
      <w:r w:rsidR="00CC0799">
        <w:rPr>
          <w:rFonts w:ascii="Times New Roman" w:hAnsi="Times New Roman" w:cs="Times New Roman"/>
        </w:rPr>
        <w:t>azaldığı (1,4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2015</w:t>
      </w:r>
      <w:r w:rsidRPr="002B5EAF">
        <w:rPr>
          <w:rFonts w:ascii="Times New Roman" w:hAnsi="Times New Roman" w:cs="Times New Roman"/>
        </w:rPr>
        <w:t xml:space="preserve"> yılının </w:t>
      </w:r>
      <w:r w:rsidR="00CC0799">
        <w:rPr>
          <w:rFonts w:ascii="Times New Roman" w:hAnsi="Times New Roman" w:cs="Times New Roman"/>
        </w:rPr>
        <w:t>Mayıs</w:t>
      </w:r>
      <w:r w:rsidR="005132FC">
        <w:rPr>
          <w:rFonts w:ascii="Times New Roman" w:hAnsi="Times New Roman" w:cs="Times New Roman"/>
        </w:rPr>
        <w:t xml:space="preserve"> ayına göre yüzde </w:t>
      </w:r>
      <w:r w:rsidR="00FC6C44">
        <w:rPr>
          <w:rFonts w:ascii="Times New Roman" w:hAnsi="Times New Roman" w:cs="Times New Roman"/>
        </w:rPr>
        <w:t>2</w:t>
      </w:r>
      <w:r w:rsidR="00CC0799">
        <w:rPr>
          <w:rFonts w:ascii="Times New Roman" w:hAnsi="Times New Roman" w:cs="Times New Roman"/>
        </w:rPr>
        <w:t>,5</w:t>
      </w:r>
      <w:r w:rsidRPr="002B5EAF">
        <w:rPr>
          <w:rFonts w:ascii="Times New Roman" w:hAnsi="Times New Roman" w:cs="Times New Roman"/>
        </w:rPr>
        <w:t xml:space="preserve"> oranında </w:t>
      </w:r>
      <w:r w:rsidR="00CC0799">
        <w:rPr>
          <w:rFonts w:ascii="Times New Roman" w:hAnsi="Times New Roman" w:cs="Times New Roman"/>
        </w:rPr>
        <w:t>azalarak</w:t>
      </w:r>
      <w:r w:rsidR="00DB0FFC">
        <w:rPr>
          <w:rFonts w:ascii="Times New Roman" w:hAnsi="Times New Roman" w:cs="Times New Roman"/>
        </w:rPr>
        <w:t xml:space="preserve"> (</w:t>
      </w:r>
      <w:r w:rsidR="00FC6C44">
        <w:rPr>
          <w:rFonts w:ascii="Times New Roman" w:hAnsi="Times New Roman" w:cs="Times New Roman"/>
        </w:rPr>
        <w:t>2,</w:t>
      </w:r>
      <w:r w:rsidR="00CC0799">
        <w:rPr>
          <w:rFonts w:ascii="Times New Roman" w:hAnsi="Times New Roman" w:cs="Times New Roman"/>
        </w:rPr>
        <w:t>7</w:t>
      </w:r>
      <w:r w:rsidR="00BB0798">
        <w:rPr>
          <w:rFonts w:ascii="Times New Roman" w:hAnsi="Times New Roman" w:cs="Times New Roman"/>
        </w:rPr>
        <w:t xml:space="preserve"> 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 105</w:t>
      </w:r>
      <w:r w:rsidR="00415908">
        <w:rPr>
          <w:rFonts w:ascii="Times New Roman" w:hAnsi="Times New Roman" w:cs="Times New Roman"/>
        </w:rPr>
        <w:t xml:space="preserve"> olurken, </w:t>
      </w:r>
      <w:r w:rsidR="00EE3747">
        <w:rPr>
          <w:rFonts w:ascii="Times New Roman" w:hAnsi="Times New Roman" w:cs="Times New Roman"/>
        </w:rPr>
        <w:t>2014</w:t>
      </w:r>
      <w:r w:rsidRPr="002B5EAF">
        <w:rPr>
          <w:rFonts w:ascii="Times New Roman" w:hAnsi="Times New Roman" w:cs="Times New Roman"/>
        </w:rPr>
        <w:t xml:space="preserve"> yılı </w:t>
      </w:r>
      <w:r w:rsidR="00CC0799">
        <w:rPr>
          <w:rFonts w:ascii="Times New Roman" w:hAnsi="Times New Roman" w:cs="Times New Roman"/>
        </w:rPr>
        <w:t>Haziran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>0,6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CC0799">
        <w:rPr>
          <w:rFonts w:ascii="Times New Roman" w:hAnsi="Times New Roman" w:cs="Times New Roman"/>
        </w:rPr>
        <w:t>0</w:t>
      </w:r>
      <w:r w:rsidR="00FC6C44">
        <w:rPr>
          <w:rFonts w:ascii="Times New Roman" w:hAnsi="Times New Roman" w:cs="Times New Roman"/>
        </w:rPr>
        <w:t>,6</w:t>
      </w:r>
      <w:r w:rsidR="00415908" w:rsidRPr="002B5EAF">
        <w:rPr>
          <w:rFonts w:ascii="Times New Roman" w:hAnsi="Times New Roman" w:cs="Times New Roman"/>
        </w:rPr>
        <w:t xml:space="preserve"> puan)</w:t>
      </w:r>
      <w:r w:rsidR="00415908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CA571E">
        <w:rPr>
          <w:rFonts w:ascii="Times New Roman" w:hAnsi="Times New Roman" w:cs="Times New Roman"/>
          <w:sz w:val="22"/>
          <w:szCs w:val="22"/>
        </w:rPr>
        <w:t>Haziran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CA571E">
        <w:rPr>
          <w:rFonts w:ascii="Times New Roman" w:hAnsi="Times New Roman" w:cs="Times New Roman"/>
          <w:sz w:val="22"/>
          <w:szCs w:val="22"/>
        </w:rPr>
        <w:t xml:space="preserve">Haziran </w:t>
      </w:r>
      <w:r w:rsidR="00BB3B61">
        <w:rPr>
          <w:rFonts w:ascii="Times New Roman" w:hAnsi="Times New Roman" w:cs="Times New Roman"/>
          <w:sz w:val="22"/>
          <w:szCs w:val="22"/>
        </w:rPr>
        <w:t>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CA571E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A29709" wp14:editId="00124656">
            <wp:extent cx="5772647" cy="274320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647CB8">
        <w:rPr>
          <w:rFonts w:ascii="Times New Roman" w:hAnsi="Times New Roman" w:cs="Times New Roman"/>
        </w:rPr>
        <w:t>Mayıs</w:t>
      </w:r>
      <w:r w:rsidR="00B81743">
        <w:rPr>
          <w:rFonts w:ascii="Times New Roman" w:hAnsi="Times New Roman" w:cs="Times New Roman"/>
        </w:rPr>
        <w:t xml:space="preserve"> 2015</w:t>
      </w:r>
      <w:r w:rsidR="008F037C">
        <w:rPr>
          <w:rFonts w:ascii="Times New Roman" w:hAnsi="Times New Roman" w:cs="Times New Roman"/>
        </w:rPr>
        <w:t>’te 9</w:t>
      </w:r>
      <w:r w:rsidR="00647CB8">
        <w:rPr>
          <w:rFonts w:ascii="Times New Roman" w:hAnsi="Times New Roman" w:cs="Times New Roman"/>
        </w:rPr>
        <w:t>5,1</w:t>
      </w:r>
      <w:r>
        <w:rPr>
          <w:rFonts w:ascii="Times New Roman" w:hAnsi="Times New Roman" w:cs="Times New Roman"/>
        </w:rPr>
        <w:t xml:space="preserve"> puan olan iş durumunun, </w:t>
      </w:r>
      <w:r w:rsidR="00647CB8">
        <w:rPr>
          <w:rFonts w:ascii="Times New Roman" w:hAnsi="Times New Roman" w:cs="Times New Roman"/>
        </w:rPr>
        <w:t>Haziran</w:t>
      </w:r>
      <w:r>
        <w:rPr>
          <w:rFonts w:ascii="Times New Roman" w:hAnsi="Times New Roman" w:cs="Times New Roman"/>
        </w:rPr>
        <w:t xml:space="preserve"> a</w:t>
      </w:r>
      <w:r w:rsidR="00647CB8">
        <w:rPr>
          <w:rFonts w:ascii="Times New Roman" w:hAnsi="Times New Roman" w:cs="Times New Roman"/>
        </w:rPr>
        <w:t>yında yüzde 0,1</w:t>
      </w:r>
      <w:r w:rsidR="00EE168A">
        <w:rPr>
          <w:rFonts w:ascii="Times New Roman" w:hAnsi="Times New Roman" w:cs="Times New Roman"/>
        </w:rPr>
        <w:t xml:space="preserve"> oranında (</w:t>
      </w:r>
      <w:r w:rsidR="00A17C8D">
        <w:rPr>
          <w:rFonts w:ascii="Times New Roman" w:hAnsi="Times New Roman" w:cs="Times New Roman"/>
        </w:rPr>
        <w:t>0,</w:t>
      </w:r>
      <w:r w:rsidR="00647CB8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puan) </w:t>
      </w:r>
      <w:r w:rsidR="00647CB8">
        <w:rPr>
          <w:rFonts w:ascii="Times New Roman" w:hAnsi="Times New Roman" w:cs="Times New Roman"/>
        </w:rPr>
        <w:t>artarak</w:t>
      </w:r>
      <w:r w:rsidR="00890360">
        <w:rPr>
          <w:rFonts w:ascii="Times New Roman" w:hAnsi="Times New Roman" w:cs="Times New Roman"/>
        </w:rPr>
        <w:t xml:space="preserve"> 95,1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647CB8">
        <w:rPr>
          <w:rFonts w:ascii="Times New Roman" w:hAnsi="Times New Roman" w:cs="Times New Roman"/>
        </w:rPr>
        <w:t>Haziran</w:t>
      </w:r>
      <w:r w:rsidR="003C0AB3">
        <w:rPr>
          <w:rFonts w:ascii="Times New Roman" w:hAnsi="Times New Roman" w:cs="Times New Roman"/>
        </w:rPr>
        <w:t xml:space="preserve"> 2015’te bir önceki aya göre</w:t>
      </w:r>
      <w:r w:rsidR="00890360">
        <w:rPr>
          <w:rFonts w:ascii="Times New Roman" w:hAnsi="Times New Roman" w:cs="Times New Roman"/>
        </w:rPr>
        <w:t xml:space="preserve"> 0,</w:t>
      </w:r>
      <w:r w:rsidR="00647CB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puan </w:t>
      </w:r>
      <w:r w:rsidR="00647CB8">
        <w:rPr>
          <w:rFonts w:ascii="Times New Roman" w:hAnsi="Times New Roman" w:cs="Times New Roman"/>
        </w:rPr>
        <w:t>azalmış</w:t>
      </w:r>
      <w:r>
        <w:rPr>
          <w:rFonts w:ascii="Times New Roman" w:hAnsi="Times New Roman" w:cs="Times New Roman"/>
        </w:rPr>
        <w:t xml:space="preserve"> ve </w:t>
      </w:r>
      <w:r w:rsidR="00647CB8">
        <w:rPr>
          <w:rFonts w:ascii="Times New Roman" w:hAnsi="Times New Roman" w:cs="Times New Roman"/>
        </w:rPr>
        <w:t>93,5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647CB8">
        <w:rPr>
          <w:rFonts w:ascii="Times New Roman" w:hAnsi="Times New Roman" w:cs="Times New Roman"/>
        </w:rPr>
        <w:t>Mayıs</w:t>
      </w:r>
      <w:r w:rsidR="003C0AB3">
        <w:rPr>
          <w:rFonts w:ascii="Times New Roman" w:hAnsi="Times New Roman" w:cs="Times New Roman"/>
        </w:rPr>
        <w:t xml:space="preserve"> 2015</w:t>
      </w:r>
      <w:r w:rsidR="0067222E">
        <w:rPr>
          <w:rFonts w:ascii="Times New Roman" w:hAnsi="Times New Roman" w:cs="Times New Roman"/>
        </w:rPr>
        <w:t>’te 111</w:t>
      </w:r>
      <w:r w:rsidR="00890360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647CB8">
        <w:rPr>
          <w:rFonts w:ascii="Times New Roman" w:hAnsi="Times New Roman" w:cs="Times New Roman"/>
        </w:rPr>
        <w:t>Haziran 2015’te yüzde 2</w:t>
      </w:r>
      <w:r w:rsidR="0067222E">
        <w:rPr>
          <w:rFonts w:ascii="Times New Roman" w:hAnsi="Times New Roman" w:cs="Times New Roman"/>
        </w:rPr>
        <w:t>,</w:t>
      </w:r>
      <w:r w:rsidR="00647CB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oranında </w:t>
      </w:r>
      <w:r w:rsidR="00647CB8">
        <w:rPr>
          <w:rFonts w:ascii="Times New Roman" w:hAnsi="Times New Roman" w:cs="Times New Roman"/>
        </w:rPr>
        <w:t>azalmış</w:t>
      </w:r>
      <w:r w:rsidR="0067222E">
        <w:rPr>
          <w:rFonts w:ascii="Times New Roman" w:hAnsi="Times New Roman" w:cs="Times New Roman"/>
        </w:rPr>
        <w:t xml:space="preserve"> ve</w:t>
      </w:r>
      <w:r w:rsidR="00647CB8">
        <w:rPr>
          <w:rFonts w:ascii="Times New Roman" w:hAnsi="Times New Roman" w:cs="Times New Roman"/>
        </w:rPr>
        <w:t xml:space="preserve"> 105,5</w:t>
      </w:r>
      <w:r w:rsidR="003C0AB3">
        <w:rPr>
          <w:rFonts w:ascii="Times New Roman" w:hAnsi="Times New Roman" w:cs="Times New Roman"/>
        </w:rPr>
        <w:t xml:space="preserve"> 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B77501">
        <w:fldChar w:fldCharType="begin"/>
      </w:r>
      <w:r w:rsidR="00B77501">
        <w:instrText xml:space="preserve"> SEQ Tablo \* ARABIC </w:instrText>
      </w:r>
      <w:r w:rsidR="00B77501">
        <w:fldChar w:fldCharType="separate"/>
      </w:r>
      <w:r>
        <w:rPr>
          <w:noProof/>
        </w:rPr>
        <w:t>2</w:t>
      </w:r>
      <w:r w:rsidR="00B77501">
        <w:rPr>
          <w:noProof/>
        </w:rPr>
        <w:fldChar w:fldCharType="end"/>
      </w:r>
      <w:r>
        <w:t>: Hizmet sektörü güven endeksi alt bileşenleri (</w:t>
      </w:r>
      <w:r w:rsidR="002701B7">
        <w:t>Mayıs</w:t>
      </w:r>
      <w:r>
        <w:t>-</w:t>
      </w:r>
      <w:r w:rsidR="002701B7">
        <w:t>Haziran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2701B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0165C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2701B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Haz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701B7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701B7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701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4C3B9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  <w:r w:rsidR="005131B0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B77501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2701B7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bookmarkStart w:id="0" w:name="_GoBack"/>
        <w:bookmarkEnd w:id="0"/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11,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701B7" w:rsidP="00B7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41E14"/>
    <w:rsid w:val="001026C6"/>
    <w:rsid w:val="00107F1F"/>
    <w:rsid w:val="0011679B"/>
    <w:rsid w:val="00161E0D"/>
    <w:rsid w:val="001B4B87"/>
    <w:rsid w:val="001F45C1"/>
    <w:rsid w:val="00200568"/>
    <w:rsid w:val="002005BA"/>
    <w:rsid w:val="00226F56"/>
    <w:rsid w:val="00233F6E"/>
    <w:rsid w:val="00264FA3"/>
    <w:rsid w:val="002701B7"/>
    <w:rsid w:val="00282CEF"/>
    <w:rsid w:val="002B5EAF"/>
    <w:rsid w:val="002C176D"/>
    <w:rsid w:val="002D467F"/>
    <w:rsid w:val="0037286A"/>
    <w:rsid w:val="00374EB7"/>
    <w:rsid w:val="00376705"/>
    <w:rsid w:val="003A4DE8"/>
    <w:rsid w:val="003A4E9E"/>
    <w:rsid w:val="003C0AB3"/>
    <w:rsid w:val="003E7ABA"/>
    <w:rsid w:val="00414D32"/>
    <w:rsid w:val="00415908"/>
    <w:rsid w:val="004471C7"/>
    <w:rsid w:val="0045208A"/>
    <w:rsid w:val="00472839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50581"/>
    <w:rsid w:val="005D1EB3"/>
    <w:rsid w:val="006178F0"/>
    <w:rsid w:val="00647CB8"/>
    <w:rsid w:val="0067222E"/>
    <w:rsid w:val="006934C1"/>
    <w:rsid w:val="006D6C3C"/>
    <w:rsid w:val="006F23D8"/>
    <w:rsid w:val="00703D10"/>
    <w:rsid w:val="00722F2F"/>
    <w:rsid w:val="00734FA4"/>
    <w:rsid w:val="00735C81"/>
    <w:rsid w:val="00746DDE"/>
    <w:rsid w:val="00756E1D"/>
    <w:rsid w:val="007A61BB"/>
    <w:rsid w:val="007B5C52"/>
    <w:rsid w:val="007C40D1"/>
    <w:rsid w:val="008071E5"/>
    <w:rsid w:val="008212B1"/>
    <w:rsid w:val="00890360"/>
    <w:rsid w:val="008A3853"/>
    <w:rsid w:val="008B29F9"/>
    <w:rsid w:val="008C3A4E"/>
    <w:rsid w:val="008F037C"/>
    <w:rsid w:val="008F6EF4"/>
    <w:rsid w:val="00931BB6"/>
    <w:rsid w:val="00960957"/>
    <w:rsid w:val="00981E48"/>
    <w:rsid w:val="009B6A7A"/>
    <w:rsid w:val="009C7E77"/>
    <w:rsid w:val="00A00243"/>
    <w:rsid w:val="00A17C8D"/>
    <w:rsid w:val="00A2299A"/>
    <w:rsid w:val="00A270E3"/>
    <w:rsid w:val="00A332D6"/>
    <w:rsid w:val="00A928AB"/>
    <w:rsid w:val="00AD0348"/>
    <w:rsid w:val="00AD6B7D"/>
    <w:rsid w:val="00AE146A"/>
    <w:rsid w:val="00B050DB"/>
    <w:rsid w:val="00B22A6C"/>
    <w:rsid w:val="00B77501"/>
    <w:rsid w:val="00B81204"/>
    <w:rsid w:val="00B81743"/>
    <w:rsid w:val="00B81FEA"/>
    <w:rsid w:val="00BA0AF0"/>
    <w:rsid w:val="00BA3D68"/>
    <w:rsid w:val="00BB0798"/>
    <w:rsid w:val="00BB3B61"/>
    <w:rsid w:val="00BE14F5"/>
    <w:rsid w:val="00C0378F"/>
    <w:rsid w:val="00C03934"/>
    <w:rsid w:val="00C04185"/>
    <w:rsid w:val="00C51B65"/>
    <w:rsid w:val="00CA571E"/>
    <w:rsid w:val="00CA5ACC"/>
    <w:rsid w:val="00CC05F5"/>
    <w:rsid w:val="00CC0799"/>
    <w:rsid w:val="00CE566F"/>
    <w:rsid w:val="00D00F4A"/>
    <w:rsid w:val="00D11DC0"/>
    <w:rsid w:val="00D30BE9"/>
    <w:rsid w:val="00D41704"/>
    <w:rsid w:val="00DB0FFC"/>
    <w:rsid w:val="00DC3CEB"/>
    <w:rsid w:val="00DF240C"/>
    <w:rsid w:val="00E12C81"/>
    <w:rsid w:val="00E14F76"/>
    <w:rsid w:val="00E22179"/>
    <w:rsid w:val="00E326F7"/>
    <w:rsid w:val="00EA5332"/>
    <w:rsid w:val="00EB0C4D"/>
    <w:rsid w:val="00EB68C0"/>
    <w:rsid w:val="00EE168A"/>
    <w:rsid w:val="00EE3747"/>
    <w:rsid w:val="00F2387A"/>
    <w:rsid w:val="00F41309"/>
    <w:rsid w:val="00F5267F"/>
    <w:rsid w:val="00F66CF6"/>
    <w:rsid w:val="00F73F8D"/>
    <w:rsid w:val="00F91EC1"/>
    <w:rsid w:val="00FB149D"/>
    <w:rsid w:val="00FB558C"/>
    <w:rsid w:val="00FC6C44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1093313590356353276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-297709731212574756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930063961742297E-2"/>
          <c:y val="5.2156434533136252E-2"/>
          <c:w val="0.65267102028913049"/>
          <c:h val="0.74407237582875774"/>
        </c:manualLayout>
      </c:layout>
      <c:lineChart>
        <c:grouping val="standard"/>
        <c:varyColors val="0"/>
        <c:ser>
          <c:idx val="0"/>
          <c:order val="0"/>
          <c:tx>
            <c:strRef>
              <c:f>'[1093313590356353276..xls]Sayfa1'!$C$4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'[1093313590356353276..xls]Sayfa1'!$D$3:$P$3</c:f>
              <c:numCache>
                <c:formatCode>mmm\-yy</c:formatCode>
                <c:ptCount val="13"/>
                <c:pt idx="0">
                  <c:v>41791</c:v>
                </c:pt>
                <c:pt idx="1">
                  <c:v>41821</c:v>
                </c:pt>
                <c:pt idx="2">
                  <c:v>41852</c:v>
                </c:pt>
                <c:pt idx="3">
                  <c:v>41883</c:v>
                </c:pt>
                <c:pt idx="4">
                  <c:v>41913</c:v>
                </c:pt>
                <c:pt idx="5">
                  <c:v>41944</c:v>
                </c:pt>
                <c:pt idx="6">
                  <c:v>41974</c:v>
                </c:pt>
                <c:pt idx="7">
                  <c:v>42005</c:v>
                </c:pt>
                <c:pt idx="8">
                  <c:v>42036</c:v>
                </c:pt>
                <c:pt idx="9">
                  <c:v>42064</c:v>
                </c:pt>
                <c:pt idx="10">
                  <c:v>42095</c:v>
                </c:pt>
                <c:pt idx="11">
                  <c:v>42125</c:v>
                </c:pt>
                <c:pt idx="12">
                  <c:v>42156</c:v>
                </c:pt>
              </c:numCache>
            </c:numRef>
          </c:cat>
          <c:val>
            <c:numRef>
              <c:f>'[1093313590356353276..xls]Sayfa1'!$D$4:$P$4</c:f>
              <c:numCache>
                <c:formatCode>0.0</c:formatCode>
                <c:ptCount val="13"/>
                <c:pt idx="0">
                  <c:v>80.290275221686244</c:v>
                </c:pt>
                <c:pt idx="1">
                  <c:v>79.072553816770807</c:v>
                </c:pt>
                <c:pt idx="2">
                  <c:v>82.784453236773047</c:v>
                </c:pt>
                <c:pt idx="3">
                  <c:v>83.913207145342511</c:v>
                </c:pt>
                <c:pt idx="4">
                  <c:v>81.843383462681558</c:v>
                </c:pt>
                <c:pt idx="5">
                  <c:v>83.141282469630141</c:v>
                </c:pt>
                <c:pt idx="6">
                  <c:v>83.372058155706398</c:v>
                </c:pt>
                <c:pt idx="7">
                  <c:v>82.489174396245659</c:v>
                </c:pt>
                <c:pt idx="8">
                  <c:v>84.898082501421555</c:v>
                </c:pt>
                <c:pt idx="9">
                  <c:v>83.55817485389575</c:v>
                </c:pt>
                <c:pt idx="10">
                  <c:v>81.056084605442237</c:v>
                </c:pt>
                <c:pt idx="11">
                  <c:v>83.418328568127293</c:v>
                </c:pt>
                <c:pt idx="12">
                  <c:v>84.732514300830246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'[1093313590356353276..xls]Sayfa1'!$C$5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'[1093313590356353276..xls]Sayfa1'!$D$3:$P$3</c:f>
              <c:numCache>
                <c:formatCode>mmm\-yy</c:formatCode>
                <c:ptCount val="13"/>
                <c:pt idx="0">
                  <c:v>41791</c:v>
                </c:pt>
                <c:pt idx="1">
                  <c:v>41821</c:v>
                </c:pt>
                <c:pt idx="2">
                  <c:v>41852</c:v>
                </c:pt>
                <c:pt idx="3">
                  <c:v>41883</c:v>
                </c:pt>
                <c:pt idx="4">
                  <c:v>41913</c:v>
                </c:pt>
                <c:pt idx="5">
                  <c:v>41944</c:v>
                </c:pt>
                <c:pt idx="6">
                  <c:v>41974</c:v>
                </c:pt>
                <c:pt idx="7">
                  <c:v>42005</c:v>
                </c:pt>
                <c:pt idx="8">
                  <c:v>42036</c:v>
                </c:pt>
                <c:pt idx="9">
                  <c:v>42064</c:v>
                </c:pt>
                <c:pt idx="10">
                  <c:v>42095</c:v>
                </c:pt>
                <c:pt idx="11">
                  <c:v>42125</c:v>
                </c:pt>
                <c:pt idx="12">
                  <c:v>42156</c:v>
                </c:pt>
              </c:numCache>
            </c:numRef>
          </c:cat>
          <c:val>
            <c:numRef>
              <c:f>'[1093313590356353276..xls]Sayfa1'!$D$5:$P$5</c:f>
              <c:numCache>
                <c:formatCode>0.0</c:formatCode>
                <c:ptCount val="13"/>
                <c:pt idx="0">
                  <c:v>84.260626536057302</c:v>
                </c:pt>
                <c:pt idx="1">
                  <c:v>80.9329538978795</c:v>
                </c:pt>
                <c:pt idx="2">
                  <c:v>82.211290707936001</c:v>
                </c:pt>
                <c:pt idx="3">
                  <c:v>80.9284085041851</c:v>
                </c:pt>
                <c:pt idx="4">
                  <c:v>74.846235557199606</c:v>
                </c:pt>
                <c:pt idx="5">
                  <c:v>75.944942703521903</c:v>
                </c:pt>
                <c:pt idx="6">
                  <c:v>73.489662247233198</c:v>
                </c:pt>
                <c:pt idx="7">
                  <c:v>81.092537142537495</c:v>
                </c:pt>
                <c:pt idx="8">
                  <c:v>87.528411968771593</c:v>
                </c:pt>
                <c:pt idx="9">
                  <c:v>89.874190311685496</c:v>
                </c:pt>
                <c:pt idx="10">
                  <c:v>88.786938905225668</c:v>
                </c:pt>
                <c:pt idx="11">
                  <c:v>89.941936195351602</c:v>
                </c:pt>
                <c:pt idx="12">
                  <c:v>88.700339250451407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00032"/>
        <c:axId val="120075392"/>
      </c:lineChart>
      <c:dateAx>
        <c:axId val="1199000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 b="0"/>
            </a:pPr>
            <a:endParaRPr lang="tr-TR"/>
          </a:p>
        </c:txPr>
        <c:crossAx val="120075392"/>
        <c:crosses val="autoZero"/>
        <c:auto val="1"/>
        <c:lblOffset val="100"/>
        <c:baseTimeUnit val="months"/>
      </c:dateAx>
      <c:valAx>
        <c:axId val="12007539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11990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47276456555557"/>
          <c:y val="0.14621606713829319"/>
          <c:w val="0.22555253509977918"/>
          <c:h val="0.61903757093832956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13084881164569E-2"/>
          <c:y val="5.1400554097404488E-2"/>
          <c:w val="0.64850982736068885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'[-297709731212574756..xls]Sayfa1'!$C$5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'[-297709731212574756..xls]Sayfa1'!$D$4:$P$4</c:f>
              <c:numCache>
                <c:formatCode>mmm\-yy</c:formatCode>
                <c:ptCount val="13"/>
                <c:pt idx="0">
                  <c:v>41791</c:v>
                </c:pt>
                <c:pt idx="1">
                  <c:v>41821</c:v>
                </c:pt>
                <c:pt idx="2">
                  <c:v>41852</c:v>
                </c:pt>
                <c:pt idx="3">
                  <c:v>41883</c:v>
                </c:pt>
                <c:pt idx="4">
                  <c:v>41913</c:v>
                </c:pt>
                <c:pt idx="5">
                  <c:v>41944</c:v>
                </c:pt>
                <c:pt idx="6">
                  <c:v>41974</c:v>
                </c:pt>
                <c:pt idx="7">
                  <c:v>42005</c:v>
                </c:pt>
                <c:pt idx="8">
                  <c:v>42036</c:v>
                </c:pt>
                <c:pt idx="9">
                  <c:v>42064</c:v>
                </c:pt>
                <c:pt idx="10">
                  <c:v>42095</c:v>
                </c:pt>
                <c:pt idx="11">
                  <c:v>42125</c:v>
                </c:pt>
                <c:pt idx="12">
                  <c:v>42156</c:v>
                </c:pt>
              </c:numCache>
            </c:numRef>
          </c:cat>
          <c:val>
            <c:numRef>
              <c:f>'[-297709731212574756..xls]Sayfa1'!$D$5:$P$5</c:f>
              <c:numCache>
                <c:formatCode>0.0</c:formatCode>
                <c:ptCount val="13"/>
                <c:pt idx="0">
                  <c:v>99.472037333333333</c:v>
                </c:pt>
                <c:pt idx="1">
                  <c:v>97.724939109999994</c:v>
                </c:pt>
                <c:pt idx="2">
                  <c:v>99.891439390000002</c:v>
                </c:pt>
                <c:pt idx="3">
                  <c:v>100.19614565666666</c:v>
                </c:pt>
                <c:pt idx="4">
                  <c:v>99.098101409999984</c:v>
                </c:pt>
                <c:pt idx="5">
                  <c:v>97.86958534</c:v>
                </c:pt>
                <c:pt idx="6">
                  <c:v>98.795543326666674</c:v>
                </c:pt>
                <c:pt idx="7">
                  <c:v>100.79702481999999</c:v>
                </c:pt>
                <c:pt idx="8">
                  <c:v>101.61179154333333</c:v>
                </c:pt>
                <c:pt idx="9">
                  <c:v>100.86079592666665</c:v>
                </c:pt>
                <c:pt idx="10">
                  <c:v>100.25598950666667</c:v>
                </c:pt>
                <c:pt idx="11">
                  <c:v>100.41003569333333</c:v>
                </c:pt>
                <c:pt idx="12">
                  <c:v>99.040072253333335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'[-297709731212574756..xls]Sayfa1'!$C$6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'[-297709731212574756..xls]Sayfa1'!$D$4:$P$4</c:f>
              <c:numCache>
                <c:formatCode>mmm\-yy</c:formatCode>
                <c:ptCount val="13"/>
                <c:pt idx="0">
                  <c:v>41791</c:v>
                </c:pt>
                <c:pt idx="1">
                  <c:v>41821</c:v>
                </c:pt>
                <c:pt idx="2">
                  <c:v>41852</c:v>
                </c:pt>
                <c:pt idx="3">
                  <c:v>41883</c:v>
                </c:pt>
                <c:pt idx="4">
                  <c:v>41913</c:v>
                </c:pt>
                <c:pt idx="5">
                  <c:v>41944</c:v>
                </c:pt>
                <c:pt idx="6">
                  <c:v>41974</c:v>
                </c:pt>
                <c:pt idx="7">
                  <c:v>42005</c:v>
                </c:pt>
                <c:pt idx="8">
                  <c:v>42036</c:v>
                </c:pt>
                <c:pt idx="9">
                  <c:v>42064</c:v>
                </c:pt>
                <c:pt idx="10">
                  <c:v>42095</c:v>
                </c:pt>
                <c:pt idx="11">
                  <c:v>42125</c:v>
                </c:pt>
                <c:pt idx="12">
                  <c:v>42156</c:v>
                </c:pt>
              </c:numCache>
            </c:numRef>
          </c:cat>
          <c:val>
            <c:numRef>
              <c:f>'[-297709731212574756..xls]Sayfa1'!$D$6:$P$6</c:f>
              <c:numCache>
                <c:formatCode>0.0</c:formatCode>
                <c:ptCount val="13"/>
                <c:pt idx="0">
                  <c:v>105.623272867715</c:v>
                </c:pt>
                <c:pt idx="1">
                  <c:v>99.725627859344101</c:v>
                </c:pt>
                <c:pt idx="2">
                  <c:v>103.183202686927</c:v>
                </c:pt>
                <c:pt idx="3">
                  <c:v>101.856218110916</c:v>
                </c:pt>
                <c:pt idx="4">
                  <c:v>98.382789202470605</c:v>
                </c:pt>
                <c:pt idx="5">
                  <c:v>91.113463503082599</c:v>
                </c:pt>
                <c:pt idx="6">
                  <c:v>89.521856079014</c:v>
                </c:pt>
                <c:pt idx="7">
                  <c:v>94.840876380301907</c:v>
                </c:pt>
                <c:pt idx="8">
                  <c:v>99.785975992814699</c:v>
                </c:pt>
                <c:pt idx="9">
                  <c:v>100.581431364108</c:v>
                </c:pt>
                <c:pt idx="10">
                  <c:v>105.5917942144827</c:v>
                </c:pt>
                <c:pt idx="11">
                  <c:v>107.699414980374</c:v>
                </c:pt>
                <c:pt idx="12">
                  <c:v>104.98806283929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203584"/>
        <c:axId val="83205120"/>
      </c:lineChart>
      <c:dateAx>
        <c:axId val="832035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83205120"/>
        <c:crosses val="autoZero"/>
        <c:auto val="1"/>
        <c:lblOffset val="100"/>
        <c:baseTimeUnit val="months"/>
      </c:dateAx>
      <c:valAx>
        <c:axId val="832051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8320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427641253657117"/>
          <c:y val="0.14062335958005248"/>
          <c:w val="0.24255346794521973"/>
          <c:h val="0.66319772528433951"/>
        </c:manualLayout>
      </c:layout>
      <c:overlay val="0"/>
      <c:txPr>
        <a:bodyPr/>
        <a:lstStyle/>
        <a:p>
          <a:pPr>
            <a:defRPr sz="9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F6DE-A68D-4EA9-A1D7-36B81A5E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Aysegul</cp:lastModifiedBy>
  <cp:revision>10</cp:revision>
  <dcterms:created xsi:type="dcterms:W3CDTF">2015-06-24T07:14:00Z</dcterms:created>
  <dcterms:modified xsi:type="dcterms:W3CDTF">2015-06-24T07:52:00Z</dcterms:modified>
</cp:coreProperties>
</file>